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E23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rPr>
      </w:pPr>
      <w:bookmarkStart w:id="0" w:name="_GoBack"/>
      <w:bookmarkEnd w:id="0"/>
    </w:p>
    <w:p w14:paraId="1EB997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017460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关于健全涉企收费目录</w:t>
      </w:r>
    </w:p>
    <w:p w14:paraId="23935B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清单制度有关工作的通知</w:t>
      </w:r>
    </w:p>
    <w:p w14:paraId="7D8383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1A149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按照省发改委、省工信厅、省财政厅和省市场监管局《关于健全涉企收费目录清单制度有关工作的通知》和《关于贯彻落实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国务院办公厅关于建立健全涉企收费长效监管机制的指导意见〉的实施方案》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黑发改价格〔2025〕462号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有关要求，以及市发改委、市工信局、市财政局和市市场监管局《关于健全涉企收费目录清单制度有关工作的通知》（绥发改联</w:t>
      </w:r>
      <w:r>
        <w:rPr>
          <w:rFonts w:hint="eastAsia" w:ascii="Times New Roman" w:hAnsi="Times New Roman" w:eastAsia="方正仿宋_GBK" w:cs="Times New Roman"/>
          <w:sz w:val="32"/>
          <w:szCs w:val="32"/>
          <w:lang w:eastAsia="zh-CN"/>
        </w:rPr>
        <w:t>〔2025〕64号</w:t>
      </w:r>
      <w:r>
        <w:rPr>
          <w:rFonts w:hint="default" w:ascii="Times New Roman" w:hAnsi="Times New Roman" w:eastAsia="方正仿宋_GBK" w:cs="Times New Roman"/>
          <w:sz w:val="32"/>
          <w:szCs w:val="32"/>
        </w:rPr>
        <w:t>）要求，现就我县健全涉企收费目录清单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以下简称目录清单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制度等有关事项通知如下。</w:t>
      </w:r>
    </w:p>
    <w:p w14:paraId="001F6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一、各有关部门建立健全收费目录清单制度。</w:t>
      </w:r>
      <w:r>
        <w:rPr>
          <w:rFonts w:hint="default" w:ascii="Times New Roman" w:hAnsi="Times New Roman" w:eastAsia="方正仿宋_GBK" w:cs="Times New Roman"/>
          <w:sz w:val="32"/>
          <w:szCs w:val="32"/>
        </w:rPr>
        <w:t>县发展</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改革局、县工业信息科技局、县财政局按照职责分工和现行有关规定，负责涉企行政事业性收费、涉企政府性基金、涉企保证金、政府定价的涉企经营服务性收费目录清单制定与发布工作。</w:t>
      </w:r>
    </w:p>
    <w:p w14:paraId="2BEB3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部门要严格对照法律法规和相关政策要求，对涉企收费项目进行充分评估论证，建立涵盖部门及下属单位本级所有涉企收费项目的综合性目录清单，包括：行政事业性收费、政府性基金、涉企保证金、政府定价的经营服务性收费、实行市场调节价的经营服务性收费。各部门要在2025年8月20日前将目录清单报送县发展</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改革局、县工业信息科技局、县财政局、县市场监</w:t>
      </w:r>
      <w:r>
        <w:rPr>
          <w:rFonts w:hint="eastAsia" w:ascii="Times New Roman" w:hAnsi="Times New Roman" w:eastAsia="方正仿宋_GBK" w:cs="Times New Roman"/>
          <w:sz w:val="32"/>
          <w:szCs w:val="32"/>
          <w:lang w:eastAsia="zh-CN"/>
        </w:rPr>
        <w:t>督</w:t>
      </w:r>
      <w:r>
        <w:rPr>
          <w:rFonts w:hint="default" w:ascii="Times New Roman" w:hAnsi="Times New Roman" w:eastAsia="方正仿宋_GBK" w:cs="Times New Roman"/>
          <w:sz w:val="32"/>
          <w:szCs w:val="32"/>
        </w:rPr>
        <w:t>管</w:t>
      </w:r>
      <w:r>
        <w:rPr>
          <w:rFonts w:hint="eastAsia" w:ascii="Times New Roman" w:hAnsi="Times New Roman" w:eastAsia="方正仿宋_GBK" w:cs="Times New Roman"/>
          <w:sz w:val="32"/>
          <w:szCs w:val="32"/>
          <w:lang w:eastAsia="zh-CN"/>
        </w:rPr>
        <w:t>理</w:t>
      </w:r>
      <w:r>
        <w:rPr>
          <w:rFonts w:hint="default" w:ascii="Times New Roman" w:hAnsi="Times New Roman" w:eastAsia="方正仿宋_GBK" w:cs="Times New Roman"/>
          <w:sz w:val="32"/>
          <w:szCs w:val="32"/>
        </w:rPr>
        <w:t>局，具体格式及填报要求详见附件1和附件2。</w:t>
      </w:r>
    </w:p>
    <w:p w14:paraId="453109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实行垂直管理的部门，建立本级综合性目录清单，同时安排各级垂直管理单位相应建立。</w:t>
      </w:r>
    </w:p>
    <w:p w14:paraId="31CC8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二、及时更新目录清单。</w:t>
      </w:r>
      <w:r>
        <w:rPr>
          <w:rFonts w:hint="default" w:ascii="Times New Roman" w:hAnsi="Times New Roman" w:eastAsia="方正仿宋_GBK" w:cs="Times New Roman"/>
          <w:sz w:val="32"/>
          <w:szCs w:val="32"/>
        </w:rPr>
        <w:t>行政事业性收费、政府性基金、涉企保证金、政府定价的经营服务性收费目录清单，要按照现行有关规定动态更新。各部门要根据收费政策出台、清理规范等变化情况，及时动态更新综合性目录清单，清单之外一律不得收费。每年要对收费项目、收费标准、收费依据等开展一次评估论证，并根据评估结果及时更新调整目录清单。</w:t>
      </w:r>
    </w:p>
    <w:p w14:paraId="22E78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三、切实抓好工作任务落实。</w:t>
      </w:r>
      <w:r>
        <w:rPr>
          <w:rFonts w:hint="default" w:ascii="Times New Roman" w:hAnsi="Times New Roman" w:eastAsia="方正仿宋_GBK" w:cs="Times New Roman"/>
          <w:sz w:val="32"/>
          <w:szCs w:val="32"/>
        </w:rPr>
        <w:t>各部门要加大工作力度、强化协同配合，推动《关于建立健全涉企收费长效监管机制的实施方案》各项重点任务尽快落实落地。四部门要对重点任务落实情况特别是建立健全目录清单情况进行调度，及时向市报告有关工作进展情况和重大问题。</w:t>
      </w:r>
    </w:p>
    <w:p w14:paraId="66C8A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2B82A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附件：1.政府部门及下属单位综合性涉企收费目录清单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模板</w:t>
      </w:r>
      <w:r>
        <w:rPr>
          <w:rFonts w:hint="eastAsia" w:ascii="Times New Roman" w:hAnsi="Times New Roman" w:eastAsia="方正仿宋_GBK" w:cs="Times New Roman"/>
          <w:sz w:val="32"/>
          <w:szCs w:val="32"/>
          <w:lang w:eastAsia="zh-CN"/>
        </w:rPr>
        <w:t>）</w:t>
      </w:r>
    </w:p>
    <w:p w14:paraId="3B6E5DD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sectPr>
          <w:headerReference r:id="rId3" w:type="default"/>
          <w:pgSz w:w="11906" w:h="16838"/>
          <w:pgMar w:top="1440" w:right="1803" w:bottom="1440" w:left="1803" w:header="851" w:footer="992" w:gutter="0"/>
          <w:cols w:space="0" w:num="1"/>
          <w:rtlGutter w:val="0"/>
          <w:docGrid w:type="lines" w:linePitch="312" w:charSpace="0"/>
        </w:sectPr>
      </w:pPr>
      <w:r>
        <w:rPr>
          <w:rFonts w:hint="default" w:ascii="Times New Roman" w:hAnsi="Times New Roman" w:eastAsia="方正仿宋_GBK" w:cs="Times New Roman"/>
          <w:sz w:val="32"/>
          <w:szCs w:val="32"/>
        </w:rPr>
        <w:t>2.政府部门及下属单位综合性涉企收费目录清单编制说明</w:t>
      </w:r>
    </w:p>
    <w:p w14:paraId="4CA329A3">
      <w:pPr>
        <w:spacing w:before="162" w:line="228" w:lineRule="auto"/>
        <w:ind w:left="75"/>
        <w:rPr>
          <w:rFonts w:hint="eastAsia" w:ascii="黑体" w:hAnsi="黑体" w:eastAsia="黑体" w:cs="黑体"/>
          <w:spacing w:val="56"/>
          <w:sz w:val="21"/>
          <w:szCs w:val="21"/>
          <w:lang w:val="en-US" w:eastAsia="zh-CN"/>
        </w:rPr>
      </w:pPr>
      <w:r>
        <w:rPr>
          <w:rFonts w:hint="eastAsia" w:ascii="方正仿宋_GBK" w:hAnsi="方正仿宋_GBK" w:eastAsia="方正仿宋_GBK" w:cs="方正仿宋_GBK"/>
          <w:spacing w:val="56"/>
          <w:sz w:val="32"/>
          <w:szCs w:val="32"/>
        </w:rPr>
        <w:t>附件1</w:t>
      </w:r>
    </w:p>
    <w:p w14:paraId="752DA18D">
      <w:pPr>
        <w:spacing w:before="162" w:line="228" w:lineRule="auto"/>
        <w:ind w:left="75"/>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XXXX</w:t>
      </w:r>
      <w:r>
        <w:rPr>
          <w:rFonts w:hint="eastAsia" w:ascii="黑体" w:hAnsi="黑体" w:eastAsia="黑体" w:cs="黑体"/>
          <w:b w:val="0"/>
          <w:bCs w:val="0"/>
          <w:spacing w:val="38"/>
          <w:sz w:val="44"/>
          <w:szCs w:val="44"/>
        </w:rPr>
        <w:t>部门及下属单位综合性涉企收费目录清单</w:t>
      </w:r>
      <w:r>
        <w:rPr>
          <w:rFonts w:hint="eastAsia" w:ascii="黑体" w:hAnsi="黑体" w:eastAsia="黑体" w:cs="黑体"/>
          <w:b w:val="0"/>
          <w:bCs w:val="0"/>
          <w:spacing w:val="38"/>
          <w:sz w:val="44"/>
          <w:szCs w:val="44"/>
          <w:lang w:eastAsia="zh-CN"/>
        </w:rPr>
        <w:t>（</w:t>
      </w:r>
      <w:r>
        <w:rPr>
          <w:rFonts w:hint="eastAsia" w:ascii="黑体" w:hAnsi="黑体" w:eastAsia="黑体" w:cs="黑体"/>
          <w:b w:val="0"/>
          <w:bCs w:val="0"/>
          <w:spacing w:val="38"/>
          <w:sz w:val="44"/>
          <w:szCs w:val="44"/>
        </w:rPr>
        <w:t>模板</w:t>
      </w:r>
      <w:r>
        <w:rPr>
          <w:rFonts w:hint="eastAsia" w:ascii="黑体" w:hAnsi="黑体" w:eastAsia="黑体" w:cs="黑体"/>
          <w:b w:val="0"/>
          <w:bCs w:val="0"/>
          <w:spacing w:val="38"/>
          <w:sz w:val="44"/>
          <w:szCs w:val="44"/>
          <w:lang w:eastAsia="zh-CN"/>
        </w:rPr>
        <w:t>）</w:t>
      </w:r>
    </w:p>
    <w:tbl>
      <w:tblPr>
        <w:tblStyle w:val="6"/>
        <w:tblpPr w:leftFromText="180" w:rightFromText="180" w:vertAnchor="text" w:horzAnchor="page" w:tblpX="1332" w:tblpY="231"/>
        <w:tblOverlap w:val="never"/>
        <w:tblW w:w="141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296"/>
        <w:gridCol w:w="1434"/>
        <w:gridCol w:w="1067"/>
        <w:gridCol w:w="969"/>
        <w:gridCol w:w="1161"/>
        <w:gridCol w:w="1708"/>
        <w:gridCol w:w="1498"/>
        <w:gridCol w:w="1506"/>
        <w:gridCol w:w="1693"/>
        <w:gridCol w:w="996"/>
      </w:tblGrid>
      <w:tr w14:paraId="39089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775" w:type="dxa"/>
            <w:vAlign w:val="center"/>
          </w:tcPr>
          <w:p w14:paraId="7E2A1919">
            <w:pPr>
              <w:spacing w:before="123" w:line="222" w:lineRule="auto"/>
              <w:jc w:val="center"/>
              <w:rPr>
                <w:rFonts w:ascii="宋体" w:hAnsi="宋体" w:eastAsia="宋体" w:cs="宋体"/>
                <w:sz w:val="24"/>
                <w:szCs w:val="24"/>
              </w:rPr>
            </w:pPr>
            <w:r>
              <w:rPr>
                <w:rFonts w:ascii="宋体" w:hAnsi="宋体" w:eastAsia="宋体" w:cs="宋体"/>
                <w:b/>
                <w:bCs/>
                <w:spacing w:val="5"/>
                <w:sz w:val="24"/>
                <w:szCs w:val="24"/>
              </w:rPr>
              <w:t>序号</w:t>
            </w:r>
          </w:p>
        </w:tc>
        <w:tc>
          <w:tcPr>
            <w:tcW w:w="1296" w:type="dxa"/>
            <w:vAlign w:val="center"/>
          </w:tcPr>
          <w:p w14:paraId="2E2CFB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spacing w:val="12"/>
                <w:sz w:val="24"/>
                <w:szCs w:val="24"/>
              </w:rPr>
            </w:pPr>
            <w:r>
              <w:rPr>
                <w:rFonts w:ascii="宋体" w:hAnsi="宋体" w:eastAsia="宋体" w:cs="宋体"/>
                <w:b/>
                <w:bCs/>
                <w:spacing w:val="12"/>
                <w:sz w:val="24"/>
                <w:szCs w:val="24"/>
              </w:rPr>
              <w:t>部门</w:t>
            </w:r>
          </w:p>
          <w:p w14:paraId="1286B7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4"/>
                <w:szCs w:val="24"/>
              </w:rPr>
            </w:pPr>
            <w:r>
              <w:rPr>
                <w:rFonts w:ascii="宋体" w:hAnsi="宋体" w:eastAsia="宋体" w:cs="宋体"/>
                <w:b/>
                <w:bCs/>
                <w:spacing w:val="12"/>
                <w:sz w:val="24"/>
                <w:szCs w:val="24"/>
              </w:rPr>
              <w:t>名</w:t>
            </w:r>
            <w:r>
              <w:rPr>
                <w:rFonts w:ascii="宋体" w:hAnsi="宋体" w:eastAsia="宋体" w:cs="宋体"/>
                <w:b/>
                <w:bCs/>
                <w:spacing w:val="-4"/>
                <w:sz w:val="24"/>
                <w:szCs w:val="24"/>
              </w:rPr>
              <w:t>称</w:t>
            </w:r>
          </w:p>
        </w:tc>
        <w:tc>
          <w:tcPr>
            <w:tcW w:w="1434" w:type="dxa"/>
            <w:vAlign w:val="center"/>
          </w:tcPr>
          <w:p w14:paraId="0590B4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spacing w:val="12"/>
                <w:sz w:val="24"/>
                <w:szCs w:val="24"/>
              </w:rPr>
            </w:pPr>
            <w:r>
              <w:rPr>
                <w:rFonts w:ascii="宋体" w:hAnsi="宋体" w:eastAsia="宋体" w:cs="宋体"/>
                <w:b/>
                <w:bCs/>
                <w:spacing w:val="12"/>
                <w:sz w:val="24"/>
                <w:szCs w:val="24"/>
              </w:rPr>
              <w:t>收费单位</w:t>
            </w:r>
          </w:p>
          <w:p w14:paraId="78CB95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4"/>
                <w:szCs w:val="24"/>
              </w:rPr>
            </w:pPr>
            <w:r>
              <w:rPr>
                <w:rFonts w:hint="eastAsia" w:ascii="宋体" w:hAnsi="宋体" w:eastAsia="宋体" w:cs="宋体"/>
                <w:b/>
                <w:bCs/>
                <w:spacing w:val="12"/>
                <w:sz w:val="24"/>
                <w:szCs w:val="24"/>
                <w:lang w:val="en-US" w:eastAsia="zh-CN"/>
              </w:rPr>
              <w:t>名</w:t>
            </w:r>
            <w:r>
              <w:rPr>
                <w:rFonts w:ascii="宋体" w:hAnsi="宋体" w:eastAsia="宋体" w:cs="宋体"/>
                <w:b/>
                <w:bCs/>
                <w:spacing w:val="12"/>
                <w:sz w:val="24"/>
                <w:szCs w:val="24"/>
              </w:rPr>
              <w:t>称</w:t>
            </w:r>
          </w:p>
        </w:tc>
        <w:tc>
          <w:tcPr>
            <w:tcW w:w="1067" w:type="dxa"/>
            <w:vAlign w:val="center"/>
          </w:tcPr>
          <w:p w14:paraId="35CC58A1">
            <w:pPr>
              <w:spacing w:before="123" w:line="222" w:lineRule="auto"/>
              <w:jc w:val="center"/>
              <w:rPr>
                <w:rFonts w:ascii="宋体" w:hAnsi="宋体" w:eastAsia="宋体" w:cs="宋体"/>
                <w:sz w:val="24"/>
                <w:szCs w:val="24"/>
              </w:rPr>
            </w:pPr>
            <w:r>
              <w:rPr>
                <w:rFonts w:ascii="宋体" w:hAnsi="宋体" w:eastAsia="宋体" w:cs="宋体"/>
                <w:b/>
                <w:bCs/>
                <w:spacing w:val="7"/>
                <w:sz w:val="24"/>
                <w:szCs w:val="24"/>
              </w:rPr>
              <w:t>单位性质</w:t>
            </w:r>
          </w:p>
        </w:tc>
        <w:tc>
          <w:tcPr>
            <w:tcW w:w="969" w:type="dxa"/>
            <w:vAlign w:val="center"/>
          </w:tcPr>
          <w:p w14:paraId="592B7E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spacing w:val="12"/>
                <w:sz w:val="24"/>
                <w:szCs w:val="24"/>
              </w:rPr>
            </w:pPr>
            <w:r>
              <w:rPr>
                <w:rFonts w:ascii="宋体" w:hAnsi="宋体" w:eastAsia="宋体" w:cs="宋体"/>
                <w:b/>
                <w:bCs/>
                <w:spacing w:val="12"/>
                <w:sz w:val="24"/>
                <w:szCs w:val="24"/>
              </w:rPr>
              <w:t>收费</w:t>
            </w:r>
          </w:p>
          <w:p w14:paraId="4B2A52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4"/>
                <w:szCs w:val="24"/>
              </w:rPr>
            </w:pPr>
            <w:r>
              <w:rPr>
                <w:rFonts w:ascii="宋体" w:hAnsi="宋体" w:eastAsia="宋体" w:cs="宋体"/>
                <w:b/>
                <w:bCs/>
                <w:spacing w:val="12"/>
                <w:sz w:val="24"/>
                <w:szCs w:val="24"/>
              </w:rPr>
              <w:t>项目</w:t>
            </w:r>
          </w:p>
        </w:tc>
        <w:tc>
          <w:tcPr>
            <w:tcW w:w="1161" w:type="dxa"/>
            <w:vAlign w:val="center"/>
          </w:tcPr>
          <w:p w14:paraId="6AEC05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spacing w:val="12"/>
                <w:sz w:val="24"/>
                <w:szCs w:val="24"/>
              </w:rPr>
            </w:pPr>
            <w:r>
              <w:rPr>
                <w:rFonts w:ascii="宋体" w:hAnsi="宋体" w:eastAsia="宋体" w:cs="宋体"/>
                <w:b/>
                <w:bCs/>
                <w:spacing w:val="12"/>
                <w:sz w:val="24"/>
                <w:szCs w:val="24"/>
              </w:rPr>
              <w:t>收费</w:t>
            </w:r>
          </w:p>
          <w:p w14:paraId="65D1FA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spacing w:val="12"/>
                <w:sz w:val="24"/>
                <w:szCs w:val="24"/>
              </w:rPr>
            </w:pPr>
            <w:r>
              <w:rPr>
                <w:rFonts w:ascii="宋体" w:hAnsi="宋体" w:eastAsia="宋体" w:cs="宋体"/>
                <w:b/>
                <w:bCs/>
                <w:spacing w:val="12"/>
                <w:sz w:val="24"/>
                <w:szCs w:val="24"/>
              </w:rPr>
              <w:t>性质</w:t>
            </w:r>
          </w:p>
        </w:tc>
        <w:tc>
          <w:tcPr>
            <w:tcW w:w="1708" w:type="dxa"/>
            <w:vAlign w:val="center"/>
          </w:tcPr>
          <w:p w14:paraId="45C2BB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spacing w:val="12"/>
                <w:sz w:val="24"/>
                <w:szCs w:val="24"/>
              </w:rPr>
            </w:pPr>
            <w:r>
              <w:rPr>
                <w:rFonts w:ascii="宋体" w:hAnsi="宋体" w:eastAsia="宋体" w:cs="宋体"/>
                <w:b/>
                <w:bCs/>
                <w:spacing w:val="12"/>
                <w:sz w:val="24"/>
                <w:szCs w:val="24"/>
              </w:rPr>
              <w:t>服务内容或</w:t>
            </w:r>
          </w:p>
          <w:p w14:paraId="75A345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spacing w:val="12"/>
                <w:sz w:val="24"/>
                <w:szCs w:val="24"/>
              </w:rPr>
            </w:pPr>
            <w:r>
              <w:rPr>
                <w:rFonts w:ascii="宋体" w:hAnsi="宋体" w:eastAsia="宋体" w:cs="宋体"/>
                <w:b/>
                <w:bCs/>
                <w:spacing w:val="12"/>
                <w:sz w:val="24"/>
                <w:szCs w:val="24"/>
              </w:rPr>
              <w:t>涉及事项</w:t>
            </w:r>
          </w:p>
        </w:tc>
        <w:tc>
          <w:tcPr>
            <w:tcW w:w="1498" w:type="dxa"/>
            <w:vAlign w:val="center"/>
          </w:tcPr>
          <w:p w14:paraId="3D973D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4"/>
                <w:szCs w:val="24"/>
              </w:rPr>
            </w:pPr>
            <w:r>
              <w:rPr>
                <w:rFonts w:ascii="宋体" w:hAnsi="宋体" w:eastAsia="宋体" w:cs="宋体"/>
                <w:b/>
                <w:bCs/>
                <w:spacing w:val="12"/>
                <w:sz w:val="24"/>
                <w:szCs w:val="24"/>
              </w:rPr>
              <w:t>收费标准</w:t>
            </w:r>
          </w:p>
        </w:tc>
        <w:tc>
          <w:tcPr>
            <w:tcW w:w="1506" w:type="dxa"/>
            <w:vAlign w:val="center"/>
          </w:tcPr>
          <w:p w14:paraId="3E84B1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spacing w:val="12"/>
                <w:sz w:val="24"/>
                <w:szCs w:val="24"/>
              </w:rPr>
            </w:pPr>
            <w:r>
              <w:rPr>
                <w:rFonts w:ascii="宋体" w:hAnsi="宋体" w:eastAsia="宋体" w:cs="宋体"/>
                <w:b/>
                <w:bCs/>
                <w:spacing w:val="12"/>
                <w:sz w:val="24"/>
                <w:szCs w:val="24"/>
              </w:rPr>
              <w:t>标准制定</w:t>
            </w:r>
          </w:p>
          <w:p w14:paraId="485064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4"/>
                <w:szCs w:val="24"/>
              </w:rPr>
            </w:pPr>
            <w:r>
              <w:rPr>
                <w:rFonts w:ascii="宋体" w:hAnsi="宋体" w:eastAsia="宋体" w:cs="宋体"/>
                <w:b/>
                <w:bCs/>
                <w:spacing w:val="12"/>
                <w:sz w:val="24"/>
                <w:szCs w:val="24"/>
              </w:rPr>
              <w:t>方式及部门</w:t>
            </w:r>
          </w:p>
        </w:tc>
        <w:tc>
          <w:tcPr>
            <w:tcW w:w="1693" w:type="dxa"/>
            <w:vAlign w:val="center"/>
          </w:tcPr>
          <w:p w14:paraId="6CCBC3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spacing w:val="12"/>
                <w:sz w:val="24"/>
                <w:szCs w:val="24"/>
              </w:rPr>
            </w:pPr>
            <w:r>
              <w:rPr>
                <w:rFonts w:ascii="宋体" w:hAnsi="宋体" w:eastAsia="宋体" w:cs="宋体"/>
                <w:b/>
                <w:bCs/>
                <w:spacing w:val="12"/>
                <w:sz w:val="24"/>
                <w:szCs w:val="24"/>
              </w:rPr>
              <w:t>政策依据</w:t>
            </w:r>
          </w:p>
        </w:tc>
        <w:tc>
          <w:tcPr>
            <w:tcW w:w="996" w:type="dxa"/>
            <w:vAlign w:val="center"/>
          </w:tcPr>
          <w:p w14:paraId="1AA456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spacing w:val="12"/>
                <w:sz w:val="24"/>
                <w:szCs w:val="24"/>
              </w:rPr>
            </w:pPr>
            <w:r>
              <w:rPr>
                <w:rFonts w:ascii="宋体" w:hAnsi="宋体" w:eastAsia="宋体" w:cs="宋体"/>
                <w:b/>
                <w:bCs/>
                <w:spacing w:val="12"/>
                <w:sz w:val="24"/>
                <w:szCs w:val="24"/>
              </w:rPr>
              <w:t>备注</w:t>
            </w:r>
          </w:p>
        </w:tc>
      </w:tr>
      <w:tr w14:paraId="578FB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75" w:type="dxa"/>
            <w:vAlign w:val="center"/>
          </w:tcPr>
          <w:p w14:paraId="7FF908AC">
            <w:pPr>
              <w:pStyle w:val="7"/>
              <w:spacing w:line="258" w:lineRule="auto"/>
              <w:jc w:val="center"/>
              <w:rPr>
                <w:sz w:val="15"/>
                <w:szCs w:val="15"/>
              </w:rPr>
            </w:pPr>
          </w:p>
          <w:p w14:paraId="526C69CE">
            <w:pPr>
              <w:spacing w:before="124" w:line="22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96" w:type="dxa"/>
            <w:vAlign w:val="center"/>
          </w:tcPr>
          <w:p w14:paraId="375DF8CE">
            <w:pPr>
              <w:pStyle w:val="7"/>
              <w:spacing w:line="261" w:lineRule="auto"/>
              <w:jc w:val="center"/>
              <w:rPr>
                <w:sz w:val="15"/>
                <w:szCs w:val="15"/>
              </w:rPr>
            </w:pPr>
          </w:p>
          <w:p w14:paraId="668AB8D9">
            <w:pPr>
              <w:spacing w:before="124" w:line="225"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庆安县城市管理综合执法局</w:t>
            </w:r>
          </w:p>
        </w:tc>
        <w:tc>
          <w:tcPr>
            <w:tcW w:w="1434" w:type="dxa"/>
            <w:vAlign w:val="center"/>
          </w:tcPr>
          <w:p w14:paraId="3F769584">
            <w:pPr>
              <w:spacing w:before="123"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庆安县自来水公司</w:t>
            </w:r>
          </w:p>
        </w:tc>
        <w:tc>
          <w:tcPr>
            <w:tcW w:w="1067" w:type="dxa"/>
            <w:vAlign w:val="center"/>
          </w:tcPr>
          <w:p w14:paraId="1257DE68">
            <w:pPr>
              <w:spacing w:before="123" w:line="22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自收自支事业单位</w:t>
            </w:r>
          </w:p>
        </w:tc>
        <w:tc>
          <w:tcPr>
            <w:tcW w:w="969" w:type="dxa"/>
            <w:vAlign w:val="center"/>
          </w:tcPr>
          <w:p w14:paraId="01978BEC">
            <w:pPr>
              <w:spacing w:before="123"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水费</w:t>
            </w:r>
          </w:p>
        </w:tc>
        <w:tc>
          <w:tcPr>
            <w:tcW w:w="1161" w:type="dxa"/>
            <w:vAlign w:val="center"/>
          </w:tcPr>
          <w:p w14:paraId="6BF3E5B3">
            <w:pPr>
              <w:spacing w:before="123"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政府定价的经营服务性收费</w:t>
            </w:r>
          </w:p>
        </w:tc>
        <w:tc>
          <w:tcPr>
            <w:tcW w:w="1708" w:type="dxa"/>
            <w:vAlign w:val="center"/>
          </w:tcPr>
          <w:p w14:paraId="0E35515A">
            <w:pPr>
              <w:pStyle w:val="7"/>
              <w:jc w:val="center"/>
              <w:rPr>
                <w:rFonts w:hint="default" w:eastAsia="宋体"/>
                <w:sz w:val="24"/>
                <w:szCs w:val="24"/>
                <w:lang w:val="en-US" w:eastAsia="zh-CN"/>
              </w:rPr>
            </w:pPr>
            <w:r>
              <w:rPr>
                <w:rFonts w:hint="eastAsia" w:ascii="宋体" w:hAnsi="宋体" w:eastAsia="宋体" w:cs="宋体"/>
                <w:kern w:val="2"/>
                <w:sz w:val="24"/>
                <w:szCs w:val="24"/>
                <w:lang w:val="en-US" w:eastAsia="zh-CN" w:bidi="ar-SA"/>
              </w:rPr>
              <w:t>庆安县镇内居民及企事业单位用水供应、供水管道安装与维修</w:t>
            </w:r>
          </w:p>
        </w:tc>
        <w:tc>
          <w:tcPr>
            <w:tcW w:w="1498" w:type="dxa"/>
            <w:vAlign w:val="top"/>
          </w:tcPr>
          <w:p w14:paraId="04310C94">
            <w:pPr>
              <w:pStyle w:val="7"/>
              <w:jc w:val="both"/>
              <w:rPr>
                <w:rFonts w:hint="eastAsia" w:eastAsia="宋体"/>
                <w:sz w:val="24"/>
                <w:szCs w:val="24"/>
                <w:lang w:val="en-US" w:eastAsia="zh-CN"/>
              </w:rPr>
            </w:pPr>
          </w:p>
          <w:p w14:paraId="5AB145C6">
            <w:pPr>
              <w:pStyle w:val="7"/>
              <w:jc w:val="center"/>
              <w:rPr>
                <w:rFonts w:hint="eastAsia" w:eastAsia="宋体"/>
                <w:sz w:val="24"/>
                <w:szCs w:val="24"/>
                <w:lang w:val="en-US" w:eastAsia="zh-CN"/>
              </w:rPr>
            </w:pPr>
            <w:r>
              <w:rPr>
                <w:rFonts w:hint="eastAsia" w:eastAsia="宋体"/>
                <w:sz w:val="24"/>
                <w:szCs w:val="24"/>
                <w:lang w:val="en-US" w:eastAsia="zh-CN"/>
              </w:rPr>
              <w:t>居民3.5/吨</w:t>
            </w:r>
          </w:p>
          <w:p w14:paraId="43C385E1">
            <w:pPr>
              <w:pStyle w:val="7"/>
              <w:jc w:val="center"/>
              <w:rPr>
                <w:rFonts w:hint="eastAsia" w:eastAsia="宋体"/>
                <w:sz w:val="24"/>
                <w:szCs w:val="24"/>
                <w:lang w:val="en-US" w:eastAsia="zh-CN"/>
              </w:rPr>
            </w:pPr>
            <w:r>
              <w:rPr>
                <w:rFonts w:hint="eastAsia" w:eastAsia="宋体"/>
                <w:sz w:val="24"/>
                <w:szCs w:val="24"/>
                <w:lang w:val="en-US" w:eastAsia="zh-CN"/>
              </w:rPr>
              <w:t>非居民5.5/吨</w:t>
            </w:r>
          </w:p>
          <w:p w14:paraId="352D3E04">
            <w:pPr>
              <w:pStyle w:val="7"/>
              <w:jc w:val="center"/>
              <w:rPr>
                <w:rFonts w:hint="default" w:eastAsia="宋体"/>
                <w:sz w:val="24"/>
                <w:szCs w:val="24"/>
                <w:lang w:val="en-US" w:eastAsia="zh-CN"/>
              </w:rPr>
            </w:pPr>
            <w:r>
              <w:rPr>
                <w:rFonts w:hint="eastAsia" w:eastAsia="宋体"/>
                <w:sz w:val="24"/>
                <w:szCs w:val="24"/>
                <w:lang w:val="en-US" w:eastAsia="zh-CN"/>
              </w:rPr>
              <w:t>特种行业8.00/吨</w:t>
            </w:r>
          </w:p>
        </w:tc>
        <w:tc>
          <w:tcPr>
            <w:tcW w:w="1506" w:type="dxa"/>
            <w:vAlign w:val="top"/>
          </w:tcPr>
          <w:p w14:paraId="34AA6174">
            <w:pPr>
              <w:pStyle w:val="7"/>
              <w:jc w:val="both"/>
              <w:rPr>
                <w:rFonts w:hint="eastAsia" w:eastAsia="宋体"/>
                <w:sz w:val="24"/>
                <w:szCs w:val="24"/>
                <w:lang w:val="en-US" w:eastAsia="zh-CN"/>
              </w:rPr>
            </w:pPr>
          </w:p>
          <w:p w14:paraId="426ECD83">
            <w:pPr>
              <w:pStyle w:val="7"/>
              <w:jc w:val="center"/>
              <w:rPr>
                <w:rFonts w:hint="default" w:eastAsia="宋体"/>
                <w:sz w:val="24"/>
                <w:szCs w:val="24"/>
                <w:lang w:val="en-US" w:eastAsia="zh-CN"/>
              </w:rPr>
            </w:pPr>
            <w:r>
              <w:rPr>
                <w:rFonts w:hint="eastAsia" w:eastAsia="宋体"/>
                <w:sz w:val="24"/>
                <w:szCs w:val="24"/>
                <w:lang w:val="en-US" w:eastAsia="zh-CN"/>
              </w:rPr>
              <w:t>政府制定庆安县物价监督管理局</w:t>
            </w:r>
          </w:p>
        </w:tc>
        <w:tc>
          <w:tcPr>
            <w:tcW w:w="1693" w:type="dxa"/>
            <w:vAlign w:val="top"/>
          </w:tcPr>
          <w:p w14:paraId="04904530">
            <w:pPr>
              <w:pStyle w:val="7"/>
              <w:jc w:val="center"/>
              <w:rPr>
                <w:rFonts w:hint="default" w:eastAsia="宋体"/>
                <w:sz w:val="24"/>
                <w:szCs w:val="24"/>
                <w:lang w:val="en-US" w:eastAsia="zh-CN"/>
              </w:rPr>
            </w:pPr>
            <w:r>
              <w:rPr>
                <w:rFonts w:hint="eastAsia" w:eastAsia="宋体"/>
                <w:sz w:val="24"/>
                <w:szCs w:val="24"/>
                <w:lang w:val="en-US" w:eastAsia="zh-CN"/>
              </w:rPr>
              <w:t>庆安县物价监督管理局庆价发〔2015〕19号关于实行城镇供水工商同价正常的通知文件</w:t>
            </w:r>
          </w:p>
        </w:tc>
        <w:tc>
          <w:tcPr>
            <w:tcW w:w="996" w:type="dxa"/>
            <w:vAlign w:val="top"/>
          </w:tcPr>
          <w:p w14:paraId="138167ED">
            <w:pPr>
              <w:pStyle w:val="7"/>
              <w:jc w:val="center"/>
              <w:rPr>
                <w:sz w:val="24"/>
                <w:szCs w:val="24"/>
              </w:rPr>
            </w:pPr>
          </w:p>
        </w:tc>
      </w:tr>
      <w:tr w14:paraId="56DDB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775" w:type="dxa"/>
            <w:vAlign w:val="center"/>
          </w:tcPr>
          <w:p w14:paraId="51410DFF">
            <w:pPr>
              <w:pStyle w:val="7"/>
              <w:jc w:val="center"/>
              <w:rPr>
                <w:rFonts w:hint="eastAsia" w:ascii="宋体" w:hAnsi="宋体" w:eastAsia="宋体" w:cs="宋体"/>
                <w:b w:val="0"/>
                <w:bCs w:val="0"/>
                <w:spacing w:val="7"/>
                <w:kern w:val="2"/>
                <w:sz w:val="24"/>
                <w:szCs w:val="24"/>
                <w:lang w:val="en-US" w:eastAsia="zh-CN" w:bidi="ar-SA"/>
              </w:rPr>
            </w:pPr>
            <w:r>
              <w:rPr>
                <w:rFonts w:hint="eastAsia" w:ascii="宋体" w:hAnsi="宋体" w:eastAsia="宋体" w:cs="宋体"/>
                <w:b w:val="0"/>
                <w:bCs w:val="0"/>
                <w:spacing w:val="7"/>
                <w:kern w:val="2"/>
                <w:sz w:val="24"/>
                <w:szCs w:val="24"/>
                <w:lang w:val="en-US" w:eastAsia="zh-CN" w:bidi="ar-SA"/>
              </w:rPr>
              <w:t>2</w:t>
            </w:r>
          </w:p>
        </w:tc>
        <w:tc>
          <w:tcPr>
            <w:tcW w:w="1296" w:type="dxa"/>
            <w:vAlign w:val="center"/>
          </w:tcPr>
          <w:p w14:paraId="10263760">
            <w:pPr>
              <w:pStyle w:val="7"/>
              <w:jc w:val="center"/>
              <w:rPr>
                <w:rFonts w:hint="eastAsia" w:ascii="宋体" w:hAnsi="宋体" w:eastAsia="宋体" w:cs="宋体"/>
                <w:b w:val="0"/>
                <w:bCs w:val="0"/>
                <w:spacing w:val="7"/>
                <w:kern w:val="2"/>
                <w:sz w:val="24"/>
                <w:szCs w:val="24"/>
                <w:lang w:val="en-US" w:eastAsia="zh-CN" w:bidi="ar-SA"/>
              </w:rPr>
            </w:pPr>
            <w:r>
              <w:rPr>
                <w:rFonts w:hint="eastAsia" w:ascii="宋体" w:hAnsi="宋体" w:eastAsia="宋体" w:cs="宋体"/>
                <w:b w:val="0"/>
                <w:bCs w:val="0"/>
                <w:spacing w:val="7"/>
                <w:kern w:val="2"/>
                <w:sz w:val="24"/>
                <w:szCs w:val="24"/>
                <w:lang w:val="en-US" w:eastAsia="zh-CN" w:bidi="ar-SA"/>
              </w:rPr>
              <w:t>庆安县城市管理综合执法局</w:t>
            </w:r>
          </w:p>
        </w:tc>
        <w:tc>
          <w:tcPr>
            <w:tcW w:w="1434" w:type="dxa"/>
            <w:vAlign w:val="center"/>
          </w:tcPr>
          <w:p w14:paraId="07EAF022">
            <w:pPr>
              <w:pStyle w:val="7"/>
              <w:jc w:val="center"/>
              <w:rPr>
                <w:rFonts w:hint="eastAsia" w:ascii="宋体" w:hAnsi="宋体" w:eastAsia="宋体" w:cs="宋体"/>
                <w:b w:val="0"/>
                <w:bCs w:val="0"/>
                <w:spacing w:val="7"/>
                <w:kern w:val="2"/>
                <w:sz w:val="24"/>
                <w:szCs w:val="24"/>
                <w:lang w:val="en-US" w:eastAsia="zh-CN" w:bidi="ar-SA"/>
              </w:rPr>
            </w:pPr>
          </w:p>
          <w:p w14:paraId="56BDE890">
            <w:pPr>
              <w:pStyle w:val="7"/>
              <w:jc w:val="center"/>
              <w:rPr>
                <w:rFonts w:hint="default" w:ascii="宋体" w:hAnsi="宋体" w:eastAsia="宋体" w:cs="宋体"/>
                <w:b w:val="0"/>
                <w:bCs w:val="0"/>
                <w:spacing w:val="7"/>
                <w:kern w:val="2"/>
                <w:sz w:val="24"/>
                <w:szCs w:val="24"/>
                <w:lang w:val="en-US" w:eastAsia="zh-CN" w:bidi="ar-SA"/>
              </w:rPr>
            </w:pPr>
            <w:r>
              <w:rPr>
                <w:rFonts w:hint="eastAsia" w:ascii="宋体" w:hAnsi="宋体" w:eastAsia="宋体" w:cs="宋体"/>
                <w:b w:val="0"/>
                <w:bCs w:val="0"/>
                <w:spacing w:val="7"/>
                <w:kern w:val="2"/>
                <w:sz w:val="24"/>
                <w:szCs w:val="24"/>
                <w:lang w:val="en-US" w:eastAsia="zh-CN" w:bidi="ar-SA"/>
              </w:rPr>
              <w:t>庆安县地下排水服务中心</w:t>
            </w:r>
          </w:p>
          <w:p w14:paraId="3500D016">
            <w:pPr>
              <w:pStyle w:val="7"/>
              <w:jc w:val="center"/>
              <w:rPr>
                <w:rFonts w:hint="eastAsia" w:ascii="宋体" w:hAnsi="宋体" w:eastAsia="宋体" w:cs="宋体"/>
                <w:b w:val="0"/>
                <w:bCs w:val="0"/>
                <w:spacing w:val="7"/>
                <w:kern w:val="2"/>
                <w:sz w:val="24"/>
                <w:szCs w:val="24"/>
                <w:lang w:val="en-US" w:eastAsia="zh-CN" w:bidi="ar-SA"/>
              </w:rPr>
            </w:pPr>
          </w:p>
        </w:tc>
        <w:tc>
          <w:tcPr>
            <w:tcW w:w="1067" w:type="dxa"/>
            <w:vAlign w:val="center"/>
          </w:tcPr>
          <w:p w14:paraId="5C6F3E43">
            <w:pPr>
              <w:spacing w:before="123"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事业单位</w:t>
            </w:r>
          </w:p>
          <w:p w14:paraId="525CD67B">
            <w:pPr>
              <w:spacing w:before="123" w:line="220" w:lineRule="auto"/>
              <w:jc w:val="center"/>
              <w:rPr>
                <w:rFonts w:hint="eastAsia" w:ascii="宋体" w:hAnsi="宋体" w:eastAsia="宋体" w:cs="宋体"/>
                <w:sz w:val="24"/>
                <w:szCs w:val="24"/>
                <w:lang w:val="en-US" w:eastAsia="zh-CN"/>
              </w:rPr>
            </w:pPr>
          </w:p>
        </w:tc>
        <w:tc>
          <w:tcPr>
            <w:tcW w:w="969" w:type="dxa"/>
            <w:vAlign w:val="center"/>
          </w:tcPr>
          <w:p w14:paraId="4B14F7C4">
            <w:pPr>
              <w:spacing w:before="123"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污水处理费</w:t>
            </w:r>
          </w:p>
          <w:p w14:paraId="7FDD4CC1">
            <w:pPr>
              <w:spacing w:before="123" w:line="220" w:lineRule="auto"/>
              <w:jc w:val="center"/>
              <w:rPr>
                <w:rFonts w:hint="eastAsia" w:ascii="宋体" w:hAnsi="宋体" w:eastAsia="宋体" w:cs="宋体"/>
                <w:sz w:val="24"/>
                <w:szCs w:val="24"/>
                <w:lang w:val="en-US" w:eastAsia="zh-CN"/>
              </w:rPr>
            </w:pPr>
          </w:p>
        </w:tc>
        <w:tc>
          <w:tcPr>
            <w:tcW w:w="1161" w:type="dxa"/>
            <w:vAlign w:val="center"/>
          </w:tcPr>
          <w:p w14:paraId="4377E631">
            <w:pPr>
              <w:spacing w:before="123"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政府性基金</w:t>
            </w:r>
          </w:p>
          <w:p w14:paraId="3F86B81A">
            <w:pPr>
              <w:spacing w:before="123" w:line="220" w:lineRule="auto"/>
              <w:jc w:val="center"/>
              <w:rPr>
                <w:rFonts w:hint="eastAsia" w:ascii="宋体" w:hAnsi="宋体" w:eastAsia="宋体" w:cs="宋体"/>
                <w:spacing w:val="15"/>
                <w:sz w:val="24"/>
                <w:szCs w:val="24"/>
                <w:lang w:val="en-US" w:eastAsia="zh-CN"/>
              </w:rPr>
            </w:pPr>
          </w:p>
        </w:tc>
        <w:tc>
          <w:tcPr>
            <w:tcW w:w="1708" w:type="dxa"/>
            <w:vAlign w:val="center"/>
          </w:tcPr>
          <w:p w14:paraId="747747DA">
            <w:pPr>
              <w:spacing w:before="123"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污水处理</w:t>
            </w:r>
          </w:p>
        </w:tc>
        <w:tc>
          <w:tcPr>
            <w:tcW w:w="1498" w:type="dxa"/>
            <w:vAlign w:val="top"/>
          </w:tcPr>
          <w:p w14:paraId="0BB49EE4">
            <w:pPr>
              <w:pStyle w:val="7"/>
              <w:jc w:val="center"/>
              <w:rPr>
                <w:rFonts w:hint="eastAsia" w:eastAsia="宋体"/>
                <w:sz w:val="24"/>
                <w:szCs w:val="24"/>
                <w:lang w:val="en-US" w:eastAsia="zh-CN"/>
              </w:rPr>
            </w:pPr>
          </w:p>
          <w:p w14:paraId="783F0D3B">
            <w:pPr>
              <w:pStyle w:val="7"/>
              <w:jc w:val="center"/>
              <w:rPr>
                <w:rFonts w:hint="eastAsia" w:eastAsia="宋体"/>
                <w:sz w:val="24"/>
                <w:szCs w:val="24"/>
                <w:lang w:val="en-US" w:eastAsia="zh-CN"/>
              </w:rPr>
            </w:pPr>
          </w:p>
          <w:p w14:paraId="4CAC7E0E">
            <w:pPr>
              <w:pStyle w:val="7"/>
              <w:jc w:val="center"/>
              <w:rPr>
                <w:rFonts w:hint="eastAsia" w:eastAsia="宋体"/>
                <w:sz w:val="24"/>
                <w:szCs w:val="24"/>
                <w:lang w:val="en-US" w:eastAsia="zh-CN"/>
              </w:rPr>
            </w:pPr>
            <w:r>
              <w:rPr>
                <w:rFonts w:hint="eastAsia" w:eastAsia="宋体"/>
                <w:sz w:val="24"/>
                <w:szCs w:val="24"/>
                <w:lang w:val="en-US" w:eastAsia="zh-CN"/>
              </w:rPr>
              <w:t>居民0.8/吨</w:t>
            </w:r>
          </w:p>
          <w:p w14:paraId="35AA7AAC">
            <w:pPr>
              <w:pStyle w:val="7"/>
              <w:jc w:val="center"/>
              <w:rPr>
                <w:rFonts w:hint="eastAsia" w:ascii="宋体" w:hAnsi="宋体" w:eastAsia="宋体" w:cs="宋体"/>
                <w:sz w:val="24"/>
                <w:szCs w:val="24"/>
                <w:lang w:val="en-US" w:eastAsia="zh-CN"/>
              </w:rPr>
            </w:pPr>
            <w:r>
              <w:rPr>
                <w:rFonts w:hint="eastAsia" w:eastAsia="宋体"/>
                <w:sz w:val="24"/>
                <w:szCs w:val="24"/>
                <w:lang w:val="en-US" w:eastAsia="zh-CN"/>
              </w:rPr>
              <w:t>非居民1.2/吨</w:t>
            </w:r>
          </w:p>
        </w:tc>
        <w:tc>
          <w:tcPr>
            <w:tcW w:w="1506" w:type="dxa"/>
            <w:vAlign w:val="top"/>
          </w:tcPr>
          <w:p w14:paraId="78E0FC7A">
            <w:pPr>
              <w:spacing w:before="123" w:line="220" w:lineRule="auto"/>
              <w:jc w:val="center"/>
              <w:rPr>
                <w:rFonts w:hint="eastAsia" w:ascii="宋体" w:hAnsi="宋体" w:eastAsia="宋体" w:cs="宋体"/>
                <w:sz w:val="24"/>
                <w:szCs w:val="24"/>
                <w:lang w:val="en-US" w:eastAsia="zh-CN"/>
              </w:rPr>
            </w:pPr>
          </w:p>
          <w:p w14:paraId="1EE6BAE9">
            <w:pPr>
              <w:spacing w:before="123"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政府制定庆安县物价监督管理局</w:t>
            </w:r>
          </w:p>
        </w:tc>
        <w:tc>
          <w:tcPr>
            <w:tcW w:w="1693" w:type="dxa"/>
            <w:vAlign w:val="top"/>
          </w:tcPr>
          <w:p w14:paraId="5CC8632F">
            <w:pPr>
              <w:spacing w:before="123"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庆安县物价监督管理局庆价发〔2015〕19号关于污水处理收费标准的通知文件</w:t>
            </w:r>
          </w:p>
        </w:tc>
        <w:tc>
          <w:tcPr>
            <w:tcW w:w="996" w:type="dxa"/>
            <w:vAlign w:val="top"/>
          </w:tcPr>
          <w:p w14:paraId="510361ED">
            <w:pPr>
              <w:spacing w:before="123"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庆安县自来水公司代征</w:t>
            </w:r>
          </w:p>
        </w:tc>
      </w:tr>
      <w:tr w14:paraId="51393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775" w:type="dxa"/>
            <w:vAlign w:val="top"/>
          </w:tcPr>
          <w:p w14:paraId="5057B3F9">
            <w:pPr>
              <w:spacing w:before="124" w:line="499"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96" w:type="dxa"/>
            <w:vAlign w:val="top"/>
          </w:tcPr>
          <w:p w14:paraId="078D2DF5">
            <w:pPr>
              <w:pStyle w:val="7"/>
              <w:jc w:val="center"/>
              <w:rPr>
                <w:sz w:val="15"/>
                <w:szCs w:val="15"/>
              </w:rPr>
            </w:pPr>
          </w:p>
        </w:tc>
        <w:tc>
          <w:tcPr>
            <w:tcW w:w="1434" w:type="dxa"/>
            <w:vAlign w:val="top"/>
          </w:tcPr>
          <w:p w14:paraId="7054B1D1">
            <w:pPr>
              <w:pStyle w:val="7"/>
              <w:jc w:val="center"/>
              <w:rPr>
                <w:sz w:val="15"/>
                <w:szCs w:val="15"/>
              </w:rPr>
            </w:pPr>
          </w:p>
        </w:tc>
        <w:tc>
          <w:tcPr>
            <w:tcW w:w="1067" w:type="dxa"/>
            <w:vAlign w:val="top"/>
          </w:tcPr>
          <w:p w14:paraId="35BB1626">
            <w:pPr>
              <w:pStyle w:val="7"/>
              <w:jc w:val="center"/>
              <w:rPr>
                <w:sz w:val="15"/>
                <w:szCs w:val="15"/>
              </w:rPr>
            </w:pPr>
          </w:p>
        </w:tc>
        <w:tc>
          <w:tcPr>
            <w:tcW w:w="969" w:type="dxa"/>
            <w:vAlign w:val="top"/>
          </w:tcPr>
          <w:p w14:paraId="2CC66D2F">
            <w:pPr>
              <w:pStyle w:val="7"/>
              <w:jc w:val="center"/>
              <w:rPr>
                <w:sz w:val="15"/>
                <w:szCs w:val="15"/>
              </w:rPr>
            </w:pPr>
          </w:p>
        </w:tc>
        <w:tc>
          <w:tcPr>
            <w:tcW w:w="1161" w:type="dxa"/>
            <w:vAlign w:val="top"/>
          </w:tcPr>
          <w:p w14:paraId="73B064F2">
            <w:pPr>
              <w:pStyle w:val="7"/>
              <w:jc w:val="center"/>
              <w:rPr>
                <w:sz w:val="15"/>
                <w:szCs w:val="15"/>
              </w:rPr>
            </w:pPr>
          </w:p>
        </w:tc>
        <w:tc>
          <w:tcPr>
            <w:tcW w:w="1708" w:type="dxa"/>
            <w:vAlign w:val="top"/>
          </w:tcPr>
          <w:p w14:paraId="540F6739">
            <w:pPr>
              <w:pStyle w:val="7"/>
              <w:jc w:val="center"/>
              <w:rPr>
                <w:sz w:val="15"/>
                <w:szCs w:val="15"/>
              </w:rPr>
            </w:pPr>
          </w:p>
        </w:tc>
        <w:tc>
          <w:tcPr>
            <w:tcW w:w="1498" w:type="dxa"/>
            <w:vAlign w:val="top"/>
          </w:tcPr>
          <w:p w14:paraId="1AE73C6D">
            <w:pPr>
              <w:pStyle w:val="7"/>
              <w:jc w:val="center"/>
              <w:rPr>
                <w:sz w:val="15"/>
                <w:szCs w:val="15"/>
              </w:rPr>
            </w:pPr>
          </w:p>
        </w:tc>
        <w:tc>
          <w:tcPr>
            <w:tcW w:w="1506" w:type="dxa"/>
            <w:vAlign w:val="top"/>
          </w:tcPr>
          <w:p w14:paraId="6DFF98A6">
            <w:pPr>
              <w:pStyle w:val="7"/>
              <w:jc w:val="center"/>
              <w:rPr>
                <w:sz w:val="15"/>
                <w:szCs w:val="15"/>
              </w:rPr>
            </w:pPr>
          </w:p>
        </w:tc>
        <w:tc>
          <w:tcPr>
            <w:tcW w:w="1693" w:type="dxa"/>
            <w:vAlign w:val="top"/>
          </w:tcPr>
          <w:p w14:paraId="4716C3C9">
            <w:pPr>
              <w:pStyle w:val="7"/>
              <w:jc w:val="center"/>
              <w:rPr>
                <w:sz w:val="15"/>
                <w:szCs w:val="15"/>
              </w:rPr>
            </w:pPr>
          </w:p>
        </w:tc>
        <w:tc>
          <w:tcPr>
            <w:tcW w:w="996" w:type="dxa"/>
            <w:vAlign w:val="top"/>
          </w:tcPr>
          <w:p w14:paraId="3961F13B">
            <w:pPr>
              <w:pStyle w:val="7"/>
              <w:jc w:val="center"/>
              <w:rPr>
                <w:sz w:val="15"/>
                <w:szCs w:val="15"/>
              </w:rPr>
            </w:pPr>
          </w:p>
        </w:tc>
      </w:tr>
    </w:tbl>
    <w:p w14:paraId="7662E190">
      <w:pPr>
        <w:rPr>
          <w:rFonts w:hint="eastAsia" w:ascii="方正仿宋_GBK" w:hAnsi="方正仿宋_GBK" w:eastAsia="方正仿宋_GBK" w:cs="方正仿宋_GBK"/>
          <w:sz w:val="32"/>
          <w:szCs w:val="32"/>
        </w:rPr>
        <w:sectPr>
          <w:pgSz w:w="16838" w:h="11906" w:orient="landscape"/>
          <w:pgMar w:top="1800" w:right="1440" w:bottom="1800" w:left="1440" w:header="851" w:footer="992" w:gutter="0"/>
          <w:cols w:space="425" w:num="1"/>
          <w:docGrid w:type="lines" w:linePitch="312" w:charSpace="0"/>
        </w:sectPr>
      </w:pPr>
    </w:p>
    <w:p w14:paraId="4596B55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14:paraId="25F243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1CDF41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政府部门及下属单位</w:t>
      </w:r>
    </w:p>
    <w:p w14:paraId="49C54C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综合性涉企收费目录清单编制说明</w:t>
      </w:r>
    </w:p>
    <w:p w14:paraId="6CD248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3A80EF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1.部门名称：填写政府部门规范名称。</w:t>
      </w:r>
    </w:p>
    <w:p w14:paraId="1256B2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2.收费单位名称：填写“本级”或下属单位名称。</w:t>
      </w:r>
    </w:p>
    <w:p w14:paraId="50BC69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3.单位性质：填写“政府部门”或“事业单位”“行业商会协会”“企业”等。</w:t>
      </w:r>
    </w:p>
    <w:p w14:paraId="66DE5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4.收费项目：填写服务项目的具体名称，如手续费、课题咨询费、技术服务费、检验费、评估费等。</w:t>
      </w:r>
    </w:p>
    <w:p w14:paraId="7F3E9D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5.收费性质：填写“行政事业性收费”或“政府性基金”“涉企保证金”“政府定价的经营服务性收费”“市场调节</w:t>
      </w:r>
    </w:p>
    <w:p w14:paraId="7B56CF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价的经营服务性收费”。</w:t>
      </w:r>
    </w:p>
    <w:p w14:paraId="39C6DA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6.服务内容或涉及事项：填写收费项目对应提供的服务具体内容或涉及事项。</w:t>
      </w:r>
    </w:p>
    <w:p w14:paraId="6A3ED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7.收费标准：政府制定收费标准的项目填写具体收费标准或收费区间，实行市场调节价的收费项目填写具体收费标准或收费标准区间、双方协商确定、参见XX政策文件。</w:t>
      </w:r>
    </w:p>
    <w:p w14:paraId="7CF29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8.标准制定方式及部门：填写“政府制定”或“市场调节价”。其中，政府制定的收费项目需填写制定部门。</w:t>
      </w:r>
    </w:p>
    <w:p w14:paraId="41934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9.政策依据：填写收费项目依据的现行有效的有关法律法规、政策性文件名称、文号等，包括收费项目设定依据和收费标准的制定依据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14:paraId="18342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10.如本部门收费项目由其他部门或单位执收，请在备注栏标明。</w:t>
      </w:r>
    </w:p>
    <w:p w14:paraId="7F8BF3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4A3574-294E-417E-B55D-BAD7180325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3A4416B6-85CE-4079-8191-6C6B0FAC1E2F}"/>
  </w:font>
  <w:font w:name="方正仿宋_GBK">
    <w:panose1 w:val="03000509000000000000"/>
    <w:charset w:val="86"/>
    <w:family w:val="auto"/>
    <w:pitch w:val="default"/>
    <w:sig w:usb0="00000001" w:usb1="080E0000" w:usb2="00000000" w:usb3="00000000" w:csb0="00040000" w:csb1="00000000"/>
    <w:embedRegular r:id="rId3" w:fontKey="{B25A2245-5B65-4232-A1F4-867214616B3E}"/>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PSEMBED1">
    <w:panose1 w:val="03000509000000000000"/>
    <w:charset w:val="86"/>
    <w:family w:val="auto"/>
    <w:pitch w:val="default"/>
    <w:sig w:usb0="00000001" w:usb1="080E0000" w:usb2="00000000" w:usb3="00000000" w:csb0="00040000" w:csb1="00000000"/>
  </w:font>
  <w:font w:name="WPSEMBED2">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58D77">
    <w:pPr>
      <w:pStyle w:val="3"/>
    </w:pPr>
    <w: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4F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5338</Words>
  <Characters>5400</Characters>
  <Lines>0</Lines>
  <Paragraphs>0</Paragraphs>
  <TotalTime>24</TotalTime>
  <ScaleCrop>false</ScaleCrop>
  <LinksUpToDate>false</LinksUpToDate>
  <CharactersWithSpaces>5423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2025-08-26T09:55:00Z</dcterms:created>
  <dc:creator>swag</dc:creator>
  <cp:lastModifiedBy>Administrator</cp:lastModifiedBy>
  <cp:lastPrinted>2025-08-26T10:54:00Z</cp:lastPrinted>
  <dcterms:modified xsi:type="dcterms:W3CDTF">2025-09-09T07:13:00Z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E550F47F64154F8D8BCCC8F3BB9A2D59_13</vt:lpwstr>
  </property>
  <property fmtid="{D5CDD505-2E9C-101B-9397-08002B2CF9AE}" pid="4" name="KSOTemplateDocerSaveRecord">
    <vt:lpwstr>eyJoZGlkIjoiNjIyNGFkMjU1MjViMmI1MzQ4NDc4YzkxYzE5NjM3NzMifQ==</vt:lpwstr>
  </property>
</Properties>
</file>