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4E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70368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1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1"/>
          <w:sz w:val="44"/>
          <w:szCs w:val="44"/>
          <w:lang w:eastAsia="zh-CN" w:bidi="ar-SA"/>
        </w:rPr>
        <w:t>部分不合格项目的小知识</w:t>
      </w:r>
    </w:p>
    <w:p w14:paraId="50F97F09">
      <w:pPr>
        <w:pStyle w:val="3"/>
        <w:widowControl/>
        <w:numPr>
          <w:numId w:val="0"/>
        </w:numPr>
        <w:shd w:val="clear" w:color="auto"/>
        <w:spacing w:before="0" w:beforeAutospacing="0" w:after="0" w:afterAutospacing="0" w:line="480" w:lineRule="atLeast"/>
        <w:ind w:right="0" w:rightChars="0" w:firstLine="643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0"/>
          <w:sz w:val="32"/>
          <w:szCs w:val="32"/>
          <w:u w:val="none" w:color="auto"/>
          <w:lang w:val="en-US" w:eastAsia="zh-CN" w:bidi="ar-SA"/>
        </w:rPr>
        <w:t>噻虫胺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 w:color="auto"/>
          <w:lang w:val="en-US" w:eastAsia="zh-CN" w:bidi="ar-SA"/>
        </w:rPr>
        <w:t>：噻虫胺属于新烟碱类杀虫剂，其作用机制与烟碱乙酰胆碱受体相似，具有触杀、胃毒和内吸活性。这意味着噻虫胺不仅可以通过接触害虫体壁使其死亡，还可以通过害虫的取食进入其体内，达到杀灭害虫的目的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u w:val="none" w:color="auto"/>
          <w:lang w:val="en-US" w:eastAsia="zh-CN"/>
        </w:rPr>
        <w:t>。《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  <w:t>食品安全国家标准 食品中农药最大残留限量》（GB 2763-20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u w:val="none" w:color="auto"/>
          <w:lang w:val="en-US" w:eastAsia="zh-CN"/>
        </w:rPr>
        <w:t>中规定，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 w:color="auto"/>
          <w:lang w:val="en-US" w:eastAsia="zh-CN" w:bidi="ar-SA"/>
        </w:rPr>
        <w:t>噻虫胺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u w:val="none" w:color="auto"/>
          <w:lang w:val="en-US" w:eastAsia="zh-CN"/>
        </w:rPr>
        <w:t>在辣椒中最大残留限量为0.05mg/kg。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val="en-US" w:eastAsia="zh-CN"/>
        </w:rPr>
        <w:t>蔬菜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  <w:t>中农残超标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eastAsia="zh-CN"/>
        </w:rPr>
        <w:t>可能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  <w:t>是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val="en-US" w:eastAsia="zh-CN"/>
        </w:rPr>
        <w:t>蔬菜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  <w:t>种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eastAsia="zh-CN"/>
        </w:rPr>
        <w:t>植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  <w:t>户在生产过程中不考虑农药的半衰期，不按产品说明书规定随意或超剂量喷洒农药，以致于农药在水果中残留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  <w:lang w:eastAsia="zh-CN"/>
        </w:rPr>
        <w:t>量超标</w:t>
      </w:r>
      <w:r>
        <w:rPr>
          <w:rFonts w:hint="eastAsia" w:ascii="仿宋" w:hAnsi="仿宋" w:eastAsia="仿宋" w:cs="仿宋"/>
          <w:color w:val="000000"/>
          <w:sz w:val="32"/>
          <w:szCs w:val="32"/>
          <w:u w:val="none" w:color="auto"/>
        </w:rPr>
        <w:t>。</w:t>
      </w:r>
    </w:p>
    <w:p w14:paraId="679243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C4055"/>
    <w:rsid w:val="37992A22"/>
    <w:rsid w:val="3D8879FA"/>
    <w:rsid w:val="430776D3"/>
    <w:rsid w:val="454A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color w:val="CC0000"/>
      <w:kern w:val="0"/>
      <w:sz w:val="24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225</Characters>
  <Lines>0</Lines>
  <Paragraphs>0</Paragraphs>
  <TotalTime>0</TotalTime>
  <ScaleCrop>false</ScaleCrop>
  <LinksUpToDate>false</LinksUpToDate>
  <CharactersWithSpaces>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2025-07-16T01:47:00Z</dcterms:created>
  <dc:creator>DELL</dc:creator>
  <cp:lastModifiedBy>冰凝</cp:lastModifiedBy>
  <dcterms:modified xsi:type="dcterms:W3CDTF">2025-10-09T01:35:16Z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eyJoZGlkIjoiMWY1MjlkNGFiNzc5NTZiYmE5ZjUyM2JmMzVjODg5ZjEiLCJ1c2VySWQiOiI0OTM1MjgxODUifQ==</vt:lpwstr>
  </property>
  <property fmtid="{D5CDD505-2E9C-101B-9397-08002B2CF9AE}" pid="4" name="ICV">
    <vt:lpwstr>365112033B9B4AD8B79BBC6D83D2A4FE_13</vt:lpwstr>
  </property>
</Properties>
</file>